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06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Unterhaltungspflegearbeiten an städtischen Straßenbegleitgrün 2027-2030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